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PSK" w:hAnsi="TH SarabunPSK" w:cs="TH SarabunPSK"/>
          <w:color w:val="000000" w:themeColor="text1"/>
          <w:sz w:val="28"/>
          <w:szCs w:val="28"/>
        </w:rPr>
        <w:tab/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ข้อควรรู้เกี่ยวกับสัญญาจ้างแรงงาน</w:t>
      </w:r>
    </w:p>
    <w:p>
      <w:pPr>
        <w:jc w:val="center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</w:p>
    <w:p>
      <w:pPr>
        <w:jc w:val="right"/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โดย ภา</w:t>
      </w:r>
      <w:r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>ธินี  อาภาธณานุวัติ</w:t>
      </w:r>
    </w:p>
    <w:p>
      <w:pPr>
        <w:jc w:val="right"/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ตำแหน่ง </w:t>
      </w:r>
      <w:r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>ผู้จัดการ</w:t>
      </w:r>
      <w:r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 / ฝ่ายทรัพยากรบุคคล</w:t>
      </w:r>
    </w:p>
    <w:p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</w:p>
    <w:p>
      <w:pPr>
        <w:pStyle w:val="NormalWe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การจ้างงานมักจะต้องมีสัญญาเพื่อประกอบกฎหมาย และป้องกันความขัดแย้งในอนาคต ซึ่งสัญญาจ้างงานเป็นเอกสารทางกฎหมายที่จะระบุข้อกำหนดและเงื่อนไขเกี่ยวกับการทำงานของลูกจ้าง และการจ้างงานของนายจ้าง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> </w:t>
      </w:r>
    </w:p>
    <w:p>
      <w:pPr>
        <w:pStyle w:val="NormalWe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สัญญาจ้างงานมีประโยชน์สำคัญต่อทั้งสองฝ่าย เนื่องจากเป็นเอกสารที่จะช่วยในเรื่องความชัดเจนด้านเงื่อนไข และความรับผิดชอบของทั้งสองฝ่าย ซึ่งประโยชน์หลักของสัญญาจ้างงานที่เราจะนำมาให้ทุกคนได้รู้มี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5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ข้อดังนี้</w:t>
      </w:r>
    </w:p>
    <w:p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ความชัดเจนของสัญญาจ้างงานช่วยกำหนดความชัดเจนเกี่ยวกับสิทธิ และความรับผิดชอบของลูกจ้างและนายจ้าง ทำให้ทั้งสองฝ่ายเข้าใจตรงกันในระหว่างร่วมงาน</w:t>
      </w:r>
    </w:p>
    <w:p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เป็นการป้องกันความขัดแย้งในสัญญาจ้างงานช่วยป้องกันความขัดแย้งทางกฎหมาย หากเกิดข้อโต้แย้งในอนาคตเกี่ยวกับข้อกำหนดหรือสิทธิในสัญญา สัญญาจะเป็นเอกสารหลักที่ใช้ในการแก้ไขข้อขัดแย้ง และเป็นหลักฐานอีกด้วย</w:t>
      </w:r>
    </w:p>
    <w:p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ความลับและความรับผิดชอบ สัญญาจ้างงานมักรวมข้อกำหนดเกี่ยวกับความลับ การรักษาข้อมูลที่เป็นความลับ และการรับผิดชอบต่อความลับขององค์กรของพนักงานระหว่างร่วมงานกันอีกด้วย</w:t>
      </w:r>
    </w:p>
    <w:p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การชำระเงินและสวัสดิการ ในสัญญาจ้างงานระบุรายละเอียดเงินเดือน วิธีการจ่ายเงิน การสวัสดิการ และค่าตอบแทนอื่นๆ ที่ลูกจ้างจะได้รับ เพื่อผลประโยชน์ที่เราเองควรรู้ก่อนตกลงทำงานที่ไหน</w:t>
      </w:r>
    </w:p>
    <w:p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การสิ้นสุดสัญญา สัญญาจ้างงานจะมีการระบุข้อกำหนดเกี่ยวกับการบอกเลิกสัญญา หรือเงื่อนไขอื่นๆ เกี่ยวกับการสิ้นสุดสัญญา เพื่อความชัดเจนในการลาออกกลางคัน หรือการยกเลิกจ้าง</w:t>
      </w:r>
    </w:p>
    <w:p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ประโยชน์ของสัญญาจ้างนั้น ทำขึ้นเพื่อประโยชน์ทั้งนายจ้างและลูกจ้าง เพื่อการร่วมงานกันอย่างราบรื่น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> 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โดยถึงแม้ว่าจะไม่มีการทำเป็นหนังสือสัญญาจ้างแรงงาน แต่นายจ้างมีการให้ลูกจ้างมาช่วยทำงาน ก็ถือว่ามี “สัญญาจ้างแรงงาน” เกิดขึ้นแล้ว</w:t>
      </w:r>
    </w:p>
    <w:p>
      <w:pPr>
        <w:shd w:val="clear" w:color="auto" w:fill="FFFFFF"/>
        <w:ind w:firstLine="36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ในประมวลกฎหมายแพ่งและพาณิชย์ มาตรา ๕๗๕ บัญญัติว่า สัญญาจ้างแรงงาน หมายถึง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> </w:t>
      </w:r>
      <w:r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“</w:t>
      </w:r>
      <w:r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สัญญาซึ่งบุคคลคนหนึ่งเรียกว่า ลูกจ้าง ตกลงทำงานให้แก่บุคคลอีกคนหนึ่ง เรียกว่านายจ้าง และนายจ้างตกลงจะจ่ายสินจ้างให้ตลอดระยะเวลาที่ทำงานให้”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> 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ข้อสังเกตอีกอย่างที่สำคัญก็คือ นายจ้างจะต้องมีอำนาจในการบังคับบัญชาลูกจ้างได้อีกด้วย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> 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ซึ่งในหัวข้อนี้ เราจะพามาทำความเข้าใจลักษณะ</w:t>
      </w:r>
      <w:r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สัญญา</w:t>
      </w:r>
      <w:r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จ้างงาน</w:t>
      </w:r>
      <w:r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ไม่มีระยะเวลา และ</w:t>
      </w:r>
      <w:r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สัญญา</w:t>
      </w:r>
      <w:r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จ้างงาน</w:t>
      </w:r>
      <w:r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ระยะกำหนด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</w:t>
      </w:r>
      <w:bookmarkStart w:id="0" w:name="_GoBack"/>
      <w:bookmarkEnd w:id="0"/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ให้ถูกต้อง และแต่ละประเภทสัญญามีกฎหมายบังคับใช้อย่างไรบ้าง</w:t>
      </w:r>
    </w:p>
    <w:p>
      <w:pPr>
        <w:numPr>
          <w:ilvl w:val="0"/>
          <w:numId w:val="12"/>
        </w:numPr>
        <w:shd w:val="clear" w:color="auto" w:fill="FFFFFF"/>
        <w:spacing w:before="100" w:beforeAutospacing="1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b/>
          <w:bCs/>
          <w:color w:val="000000" w:themeColor="text1"/>
          <w:sz w:val="28"/>
          <w:szCs w:val="28"/>
          <w:u w:val="single"/>
          <w:cs/>
        </w:rPr>
        <w:t>สัญญาจ้างงานไม่มีระยะเวลา</w:t>
      </w:r>
      <w:r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 หรือสัญญาจ้างงาน</w:t>
      </w:r>
      <w:r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ที่</w:t>
      </w:r>
      <w:r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ไม่มีระยะเวลาที่กำหนดไว้ ลูกจ้างและนายจ้างสามารถสิ้นสุดสัญญาได้ตามต้องการ โดยไม่ต้องระบุเหตุผล</w:t>
      </w:r>
    </w:p>
    <w:p>
      <w:pPr>
        <w:pStyle w:val="ListParagraph"/>
        <w:numPr>
          <w:ilvl w:val="1"/>
          <w:numId w:val="12"/>
        </w:numPr>
        <w:shd w:val="clear" w:color="auto" w:fill="FFFFFF"/>
        <w:jc w:val="thaiDistribute"/>
        <w:rPr>
          <w:rFonts w:ascii="TH Sarabun New" w:hAnsi="TH Sarabun New" w:cs="TH Sarabun New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เมื่อ</w:t>
      </w:r>
      <w:r>
        <w:rPr>
          <w:rFonts w:ascii="TH Sarabun New" w:hAnsi="TH Sarabun New" w:cs="TH Sarabun New"/>
          <w:b/>
          <w:bCs/>
          <w:i/>
          <w:iCs/>
          <w:color w:val="000000" w:themeColor="text1"/>
          <w:sz w:val="28"/>
          <w:szCs w:val="28"/>
          <w:cs/>
        </w:rPr>
        <w:t>นายจ้างเลิกจ้าง</w:t>
      </w:r>
      <w:r>
        <w:rPr>
          <w:rFonts w:ascii="TH Sarabun New" w:hAnsi="TH Sarabun New" w:cs="TH Sarabun New" w:hint="cs"/>
          <w:b/>
          <w:bCs/>
          <w:i/>
          <w:iCs/>
          <w:color w:val="000000" w:themeColor="text1"/>
          <w:sz w:val="28"/>
          <w:szCs w:val="28"/>
          <w:cs/>
        </w:rPr>
        <w:t>หรือยกเลิกสัญญาจ้างกับ</w:t>
      </w:r>
      <w:r>
        <w:rPr>
          <w:rFonts w:ascii="TH Sarabun New" w:hAnsi="TH Sarabun New" w:cs="TH Sarabun New"/>
          <w:b/>
          <w:bCs/>
          <w:i/>
          <w:iCs/>
          <w:color w:val="000000" w:themeColor="text1"/>
          <w:sz w:val="28"/>
          <w:szCs w:val="28"/>
          <w:cs/>
        </w:rPr>
        <w:t>ลูกจ้าง นายจ้างต้องจ่ายค่าชดเชยให้ลูกจ้าง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</w:p>
    <w:p>
      <w:pPr>
        <w:pStyle w:val="ListParagraph"/>
        <w:numPr>
          <w:ilvl w:val="1"/>
          <w:numId w:val="12"/>
        </w:numPr>
        <w:shd w:val="clear" w:color="auto" w:fill="FFFFFF"/>
        <w:jc w:val="thaiDistribute"/>
        <w:rPr>
          <w:rFonts w:ascii="TH Sarabun New" w:hAnsi="TH Sarabun New" w:cs="TH Sarabun New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แต่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หาก</w:t>
      </w:r>
      <w:r>
        <w:rPr>
          <w:rFonts w:ascii="TH Sarabun New" w:hAnsi="TH Sarabun New" w:cs="TH Sarabun New"/>
          <w:b/>
          <w:bCs/>
          <w:i/>
          <w:iCs/>
          <w:color w:val="000000" w:themeColor="text1"/>
          <w:sz w:val="28"/>
          <w:szCs w:val="28"/>
          <w:cs/>
        </w:rPr>
        <w:t>ลูกจ้าง</w:t>
      </w:r>
      <w:r>
        <w:rPr>
          <w:rFonts w:ascii="TH Sarabun New" w:hAnsi="TH Sarabun New" w:cs="TH Sarabun New" w:hint="cs"/>
          <w:b/>
          <w:bCs/>
          <w:i/>
          <w:iCs/>
          <w:color w:val="000000" w:themeColor="text1"/>
          <w:sz w:val="28"/>
          <w:szCs w:val="28"/>
          <w:cs/>
        </w:rPr>
        <w:t>เป็นฝ่าย</w:t>
      </w:r>
      <w:r>
        <w:rPr>
          <w:rFonts w:ascii="TH Sarabun New" w:hAnsi="TH Sarabun New" w:cs="TH Sarabun New"/>
          <w:b/>
          <w:bCs/>
          <w:i/>
          <w:iCs/>
          <w:color w:val="000000" w:themeColor="text1"/>
          <w:sz w:val="28"/>
          <w:szCs w:val="28"/>
          <w:cs/>
        </w:rPr>
        <w:t>แจ้ง</w:t>
      </w:r>
      <w:r>
        <w:rPr>
          <w:rFonts w:ascii="TH Sarabun New" w:hAnsi="TH Sarabun New" w:cs="TH Sarabun New" w:hint="cs"/>
          <w:b/>
          <w:bCs/>
          <w:i/>
          <w:iCs/>
          <w:color w:val="000000" w:themeColor="text1"/>
          <w:sz w:val="28"/>
          <w:szCs w:val="28"/>
          <w:cs/>
        </w:rPr>
        <w:t>ลาออก หรือยกเลิกสัญญาจ้าง</w:t>
      </w:r>
      <w:r>
        <w:rPr>
          <w:rFonts w:ascii="TH Sarabun New" w:hAnsi="TH Sarabun New" w:cs="TH Sarabun New"/>
          <w:b/>
          <w:bCs/>
          <w:i/>
          <w:iCs/>
          <w:color w:val="000000" w:themeColor="text1"/>
          <w:sz w:val="28"/>
          <w:szCs w:val="28"/>
          <w:cs/>
        </w:rPr>
        <w:t xml:space="preserve"> ไม่ถือเป็นการเลิกจ้าง ไม่มีสิทธิได้รับค่าชดเชย</w:t>
      </w:r>
    </w:p>
    <w:p>
      <w:pPr>
        <w:numPr>
          <w:ilvl w:val="0"/>
          <w:numId w:val="12"/>
        </w:numPr>
        <w:shd w:val="clear" w:color="auto" w:fill="FFFFFF"/>
        <w:spacing w:before="100" w:beforeAutospacing="1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b/>
          <w:bCs/>
          <w:color w:val="000000" w:themeColor="text1"/>
          <w:sz w:val="28"/>
          <w:szCs w:val="28"/>
          <w:u w:val="single"/>
          <w:cs/>
        </w:rPr>
        <w:t>สัญญาจ้างงานระยะกำหนด</w:t>
      </w:r>
      <w:r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จะ</w:t>
      </w:r>
      <w:r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กำหนดระยะเวลาที่เฉพาะเจาะจงในการจ้างงาน เช่น สัญญาจ้างงาน </w:t>
      </w:r>
      <w:r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1 </w:t>
      </w:r>
      <w:r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ปีหรือสัญญาจ้างงานตามโครงการ</w:t>
      </w:r>
    </w:p>
    <w:p>
      <w:pPr>
        <w:pStyle w:val="ListParagraph"/>
        <w:numPr>
          <w:ilvl w:val="1"/>
          <w:numId w:val="12"/>
        </w:numPr>
        <w:shd w:val="clear" w:color="auto" w:fill="FFFFFF"/>
        <w:jc w:val="thaiDistribute"/>
        <w:rPr>
          <w:rFonts w:ascii="TH Sarabun New" w:hAnsi="TH Sarabun New" w:cs="TH Sarabun New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สัญญาจ้างมีกำหนดเวลา แต่เมื่อครบกำหนดลูกจ้าง</w:t>
      </w:r>
      <w:r>
        <w:rPr>
          <w:rFonts w:ascii="TH Sarabun New" w:hAnsi="TH Sarabun New" w:cs="TH Sarabun New"/>
          <w:b/>
          <w:bCs/>
          <w:i/>
          <w:iCs/>
          <w:color w:val="000000" w:themeColor="text1"/>
          <w:sz w:val="28"/>
          <w:szCs w:val="28"/>
          <w:cs/>
        </w:rPr>
        <w:t>แจ้งไม่ต่อสัญญาจ้าง ไม่ถือเป็นการเลิกจ้าง ไม่มีสิทธิได้รับค่าชดเชย</w:t>
      </w:r>
    </w:p>
    <w:p>
      <w:pPr>
        <w:pStyle w:val="ListParagraph"/>
        <w:numPr>
          <w:ilvl w:val="1"/>
          <w:numId w:val="12"/>
        </w:numPr>
        <w:shd w:val="clear" w:color="auto" w:fill="FFFFFF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ในกรณีนี้ต้องทำความเข้าใจก่อนว่า สัญญาจ้างนี้มีกำหนดระยะเวลาสิ้นสุดแน่นอน แต่มีข้อความที่ให้นายจ้างมีสิทธิบอกเลิกสัญญาก่อนครบกำหนดได้ สัญญาจ้างจึงกลายเป็นระยะเวลาการจ้างไม่แน่นอน ไม่เป็นการจ้างที่มีกำหนดเวลาแน่นอนตามมาตรา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118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วรรคสามและวรรคสี่ เมื่อ</w:t>
      </w:r>
      <w:r>
        <w:rPr>
          <w:rFonts w:ascii="TH Sarabun New" w:hAnsi="TH Sarabun New" w:cs="TH Sarabun New"/>
          <w:b/>
          <w:bCs/>
          <w:i/>
          <w:iCs/>
          <w:color w:val="000000" w:themeColor="text1"/>
          <w:sz w:val="28"/>
          <w:szCs w:val="28"/>
          <w:cs/>
        </w:rPr>
        <w:t>นายจ้างเลิกจ้างลูกจ้าง จึงต้องจ่ายค่าชดเชยแก่ให้</w:t>
      </w:r>
      <w:r>
        <w:rPr>
          <w:rFonts w:ascii="TH Sarabun New" w:hAnsi="TH Sarabun New" w:cs="TH Sarabun New"/>
          <w:b/>
          <w:bCs/>
          <w:i/>
          <w:iCs/>
          <w:color w:val="000000" w:themeColor="text1"/>
          <w:sz w:val="28"/>
          <w:szCs w:val="28"/>
          <w:cs/>
        </w:rPr>
        <w:lastRenderedPageBreak/>
        <w:t>ลูกจ้าง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แต่ต่อมาเมื่อครบกำหนดสัญญา ลูกจ้างได้แจ้งว่าลูกจ้างไม่ประสงค์จะต่อสัญญาจ้างอีก ถือเป็นการลาออก ไม่ใช่เป็นการเลิกจ้าง ลูกจ้างจึงไม่ได้รับค่าชดเชย</w:t>
      </w:r>
    </w:p>
    <w:p>
      <w:pPr>
        <w:shd w:val="clear" w:color="auto" w:fill="FFFFFF"/>
        <w:ind w:firstLine="72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</w:pPr>
      <w:r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กรณีตัวอย่างที่ 1</w:t>
      </w:r>
    </w:p>
    <w:p>
      <w:pPr>
        <w:pStyle w:val="ListParagraph"/>
        <w:numPr>
          <w:ilvl w:val="1"/>
          <w:numId w:val="12"/>
        </w:numPr>
        <w:shd w:val="clear" w:color="auto" w:fill="FFFFFF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ตามคำพิพากษาศาลอุทธณ์คดีชำนัญพิเศษที่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7076/2562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ตัดสินว่า สัญญาจ้างระหว่างโจทก์ (ลูกจ้าง) กับ จำเลย (นายจ้าง) กำหนดระยะเวลาจ้างและระยะเวลาสิ้นสุดการจ้างที่แน่นอน โดยเริ่มต้นตั้งแต่วันที่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15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พฤศจิกายน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2559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ถึง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30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พฤศจิกายน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2560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แต่เมื่อสัญญาจ้างข้อที่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5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ระบุว่า จำเลยมีสิทธิบอกเลิกสัญญาก่อนครบกำหนดได้ ระยะเวลาการจ้างจึงไม่แน่นอน ถือไม่ได้ว่าเป็นสัญญาจ้างที่มีกำหนด</w:t>
      </w:r>
    </w:p>
    <w:p>
      <w:pPr>
        <w:shd w:val="clear" w:color="auto" w:fill="FFFFFF"/>
        <w:ind w:firstLine="72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</w:pPr>
      <w:r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กรณีตัวอย่างที่ 2</w:t>
      </w:r>
    </w:p>
    <w:p>
      <w:pPr>
        <w:pStyle w:val="ListParagraph"/>
        <w:numPr>
          <w:ilvl w:val="1"/>
          <w:numId w:val="12"/>
        </w:numPr>
        <w:shd w:val="clear" w:color="auto" w:fill="FFFFFF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ก่อนสัญญาจ้างแรงงานครบกำหนดมีการเจรจาต่อสัญญาจ้างระหว่างนายจ้างกับลูกจ้าง ลูกจ้างต้องการต่อสัญญาอีก ๑ ปี แต่นายจ้างต้องการต่อสัญญาอีก ๖ เดือน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โดยทั้งสองฝ่ายไม่สามารถตกลงกันได้ และไม่ได้มีการทำสัญญาหรือต่อสัญญาออกไป เมื่อสัญญาจ้างมีกำหนดระยะเวลาเอาไว้ กรณีจึงถือว่าเป็นการเลิกจ้างเพราะสัญญาจ้างสิ้นสุด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สอดคล้องกับความหมายของคำว่า "เลิกจ้าง" ที่กฎหมายคุ้มครองแรงงานกำหนดเอาไว้ในมาตรา ๑๑๘ วรรคสอง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</w:t>
      </w:r>
      <w:r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นายจ้างจึงต้องจ่ายค่าชดเชย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โดยต้องนำเอาระยะเวลาที่ทำกันปีต่อปีทุกฉบับมารวมกัน เพื่อคำนวณค่าชดเชย</w:t>
      </w:r>
    </w:p>
    <w:p>
      <w:pPr>
        <w:pStyle w:val="ListParagraph"/>
        <w:shd w:val="clear" w:color="auto" w:fill="FFFFFF"/>
        <w:ind w:left="144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ข้อสังเกต</w:t>
      </w:r>
    </w:p>
    <w:p>
      <w:pPr>
        <w:pStyle w:val="ListParagraph"/>
        <w:shd w:val="clear" w:color="auto" w:fill="FFFFFF"/>
        <w:ind w:left="144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ในสัญญาหลายฉบับมักเขียนมักมีการกำหนดระยะเวลาเริ่มต้นและสิ้นสุดเอาไว้แน่นอน และมักจะเข้าใจว่าสัญญามีกำหนดระยะเวลาแน่นอนไม่ต้องจ่ายค่าชดเชย ซึ่งเป็นความเข้าใจผิด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เพราะแม้มีกำหนดระยะเวลาแน่นอน แต่ต้องมีองค์ประกอบเพิ่มเติมว่าต้องเป็นงานอย่างใดอย่างหนึ่งใน ๓ อย่างนี้ คือ</w:t>
      </w:r>
    </w:p>
    <w:p>
      <w:pPr>
        <w:pStyle w:val="ListParagraph"/>
        <w:shd w:val="clear" w:color="auto" w:fill="FFFFFF"/>
        <w:ind w:left="144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ก) งานตามโครงการที่ไม่ใช่ปกติธุรกิจของนายจ้าง</w:t>
      </w:r>
    </w:p>
    <w:p>
      <w:pPr>
        <w:pStyle w:val="ListParagraph"/>
        <w:shd w:val="clear" w:color="auto" w:fill="FFFFFF"/>
        <w:ind w:left="144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ข) งานตามฤดูกาล</w:t>
      </w:r>
    </w:p>
    <w:p>
      <w:pPr>
        <w:pStyle w:val="ListParagraph"/>
        <w:shd w:val="clear" w:color="auto" w:fill="FFFFFF"/>
        <w:ind w:left="1440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ค) งานที่ทำเป็นครั้งคราว มีกำหนดการจ้างกันไม่เกิน ๒ ปี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br/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ที่มา คำพิพากษาศาลอุทธรณ์ที่ ๑๔๗/๒๕๖๓</w:t>
      </w:r>
    </w:p>
    <w:p>
      <w:pPr>
        <w:shd w:val="clear" w:color="auto" w:fill="FFFFFF"/>
        <w:ind w:firstLine="720"/>
        <w:jc w:val="thaiDistribute"/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</w:pPr>
      <w:r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กรณีตัวอย่างที่ 3</w:t>
      </w:r>
    </w:p>
    <w:p>
      <w:pPr>
        <w:pStyle w:val="ListParagraph"/>
        <w:numPr>
          <w:ilvl w:val="0"/>
          <w:numId w:val="13"/>
        </w:numPr>
        <w:shd w:val="clear" w:color="auto" w:fill="FFFFFF"/>
        <w:spacing w:after="160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คดีนี้นายจ้างทำสัญญาจ้างเป็นวิศวกรควบคุมงานก่อสร้างโครงการ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2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ฉบับ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(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ฉบับแรก เริ่มงานวันที่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1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ตค.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2554 - 30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กย.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2555/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ฉบับที่สอง เริ่มงานวันที่</w:t>
      </w:r>
      <w:proofErr w:type="gramStart"/>
      <w:r>
        <w:rPr>
          <w:rFonts w:ascii="TH Sarabun New" w:hAnsi="TH Sarabun New" w:cs="TH Sarabun New"/>
          <w:color w:val="000000" w:themeColor="text1"/>
          <w:sz w:val="28"/>
          <w:szCs w:val="28"/>
        </w:rPr>
        <w:t>  26</w:t>
      </w:r>
      <w:proofErr w:type="gramEnd"/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สค.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2555 - 25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สค.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2556)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โดยเมื่อครบกำหนดแล้วนายจ้างไม่ได้จ้างทำงานต่อ กรณีดังกล่าวถือว่านายจ้างไม่ให้ลูกจ้างทำงานต่อไปและไม่จ่ายค่าจ้างให้เพราะเหตุสิ้นสุดสัญญาจ้าง ถือว่านายจ้างเลิกจ้างลูกจ้าง ตามความหมายในมาตรา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118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วรรคสองแล้ว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br/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ข้อเท็จจริงปรากฎว่าในสัญญาจ้างทั้ง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2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ฉบับเป็นการจ้างให้ทำงานในโครงการที่แตกต่างกัน แต่สัญญาทั้ง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2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ฉบับมีลักษะเดียวกันและมีความต่อเนื่องเกี่ยวพันกัน จึงถือได้ว่าลูกจ้างทำงานให้กับนายจ้างต่อเนื่องกันเป็นเวลา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1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ปีแต่ไม่เกิน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3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ปี จึงมีสิทธิได้รับค่าชดเชย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ซึ่งกรณีเลิกจ้างยังรวมถึงการที่มีการทำสัญญากำหนดระยะเวลาเริ่มต้นและสิ้นสุดการจ้างกันไว้แน่นอน เมื่อสัญญาจ้างสิ้นสุด ก็ต้องถือว่าเป็นการเลิกจ้างด้วย นายจ้างจะอ้างว่าไม่ได้บอกเลิกสัญญาจ้างไม่ได้ เพราะกรณีนี้ถือว่านายจ้างได้บอกเลิกจ้างเอาไว้ตั้งแต่วันเซ็นต์สัญญาจ้างแล้ว เพราะในวันนั้นได้บอกถึงว่าที่จะเลิกจ้างเอาไว้ในสัญญาด้วยแล้ว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ดังนั้นเมื่อมีการเลิกจ้าง จึงต้องจ่ายค่าชดเชยแก่ลูกจ้าง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br/>
      </w:r>
      <w:r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ข้อสังเกต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br/>
        <w:t xml:space="preserve">1)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แม้สัญญาจะแยกเป็น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2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ฉบับ แต่กฎหมายมาตรา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20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ให้นำเอาระยะเวลาทุกฉบับมาต่อกัน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br/>
        <w:t xml:space="preserve">2)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คดีนี้นายจ้างยังต่อสู้ประเด็นที่ว่าเป็นงานตามโครงการตามมาตรา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118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วรรคสาม ถึงวรรคท้าย ซึ่งถือเป็นงานตามโครงการจะเป็นข้อยกเว้นไม่จ่ายค่าชดเชย แต่คำว่างานตามโครงการนั้น จะต้อง "มีกำหนดระยะเวลาเริ่มต้นและสิ้นสุดแน่นอน และมีการเลิกจ้างตามนั้น" แต่คดีนี้ เมื่อครบ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1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ปีตามสัญญาฉบับแรกแล้วยังคงมีการทำงานกันต่อไป จึงไม่ถือว่ามีการเลิกจ้างตามที่ตกลงกัน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br/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lastRenderedPageBreak/>
        <w:t xml:space="preserve">3)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นอกจากนั้น กฎหมายใช้คำว่า "งานตามโครงการซึ่งไม่ใช่ปกติธุรกิจ หรือการค้าของนายจ้าง" ส่วนนี้ทำให้เข้าใจผิดกันจำนวนมากว่าเมื่อนายจ้างให้ไปทำงานในโครงการก่อสร้างถนน หรือโครงการที่ไปรับจ้างจะทำให้งานนั้นเป็นงานตามโครงการ ซึ่งเป็นการเข้าใจที่คลาดเคลื่อน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ที่ถูกต้องคือต้องพิจารณาต่อไปด้วยว่างานตามโครงการนั้น "ต้องไม่ใช่ปกติธุรกิจหรือการค้าของนายจ้างด้วย" หมายความว่านายจ้างอาจไปร่วมทำโครงการอื่น เช่น ปกตินายจ้างทำกิจการก่อสร้าง ต่อมาได้ไปร่วมกับบริษัทด้านปิโตเคมี ทำโครงการก่อสร้างโรงกลั่นน้ำมัน เช่นนี้ย่อมถือว่าการไปทำโครงการก่อสร้างโรงกลั่นน้ำมันไม่ใช่ปกติธุรกิจของนายจ้างได้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</w:p>
    <w:p>
      <w:pPr>
        <w:numPr>
          <w:ilvl w:val="0"/>
          <w:numId w:val="12"/>
        </w:numPr>
        <w:shd w:val="clear" w:color="auto" w:fill="FFFFFF"/>
        <w:spacing w:before="100" w:beforeAutospacing="1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สัญญาจ้างงานที่มีระยะเวลาไม่มั่นคง สัญญานี้กำหนดระยะเวลาที่ไม่มั่นคง ซึ่งอาจมีการบอกเลิกได้จากทั้งสองฝ่าย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> </w:t>
      </w:r>
    </w:p>
    <w:p>
      <w:pPr>
        <w:numPr>
          <w:ilvl w:val="0"/>
          <w:numId w:val="12"/>
        </w:numPr>
        <w:shd w:val="clear" w:color="auto" w:fill="FFFFFF"/>
        <w:spacing w:before="100" w:beforeAutospacing="1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สัญญาจ้างงานเวร สำหรับงานที่มีการเปลี่ยนแปลงระหว่างปี เช่น งานในวันหยุดสุดสัปดาห์หรืองานฤดูร้อน</w:t>
      </w:r>
    </w:p>
    <w:p>
      <w:pPr>
        <w:numPr>
          <w:ilvl w:val="0"/>
          <w:numId w:val="12"/>
        </w:numPr>
        <w:shd w:val="clear" w:color="auto" w:fill="FFFFFF"/>
        <w:spacing w:before="100" w:beforeAutospacing="1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สัญญาจ้างงานแบบกิจการ ระบุลักษณะงานที่ต้องทำและเงื่อนไขการจ้างงานของผู้ทำงานอิสระ แทนการจ้างงานแบบเป็นลูกจ้าง</w:t>
      </w:r>
    </w:p>
    <w:p>
      <w:pPr>
        <w:numPr>
          <w:ilvl w:val="0"/>
          <w:numId w:val="12"/>
        </w:numPr>
        <w:shd w:val="clear" w:color="auto" w:fill="FFFFFF"/>
        <w:spacing w:before="100" w:beforeAutospacing="1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สัญญาจ้างงานสัญญาบริการ ใช้สำหรับบริการที่เป็นบริการแบบอิสระและไม่ใช่การจ้างงานเป็นลูกจ้าง</w:t>
      </w:r>
    </w:p>
    <w:p>
      <w:pPr>
        <w:numPr>
          <w:ilvl w:val="0"/>
          <w:numId w:val="12"/>
        </w:numPr>
        <w:shd w:val="clear" w:color="auto" w:fill="FFFFFF"/>
        <w:spacing w:before="100" w:beforeAutospacing="1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สัญญาจ้างงานรายคัด ทำงานตามระยะเวลาที่ไม่เต็มเวลา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,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ซึ่งลูกจ้างทำงานเพียงบางส่วนของเวลาการทำงานปกติ</w:t>
      </w:r>
    </w:p>
    <w:p>
      <w:pPr>
        <w:numPr>
          <w:ilvl w:val="0"/>
          <w:numId w:val="12"/>
        </w:numPr>
        <w:shd w:val="clear" w:color="auto" w:fill="FFFFFF"/>
        <w:spacing w:before="100" w:beforeAutospacing="1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สัญญาจ้างงานระยะประจำ กำหนดการจ้างงานเป็นลูกจ้างยาวนานและมีสวัสดิการและความมั่นคง</w:t>
      </w:r>
    </w:p>
    <w:p>
      <w:pPr>
        <w:numPr>
          <w:ilvl w:val="0"/>
          <w:numId w:val="12"/>
        </w:numPr>
        <w:shd w:val="clear" w:color="auto" w:fill="FFFFFF"/>
        <w:spacing w:before="100" w:beforeAutospacing="1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สัญญาจ้างงานแบบออนไลน์ สำหรับงานออนไลน์หรือระยะไกลที่ใช้สัญญาออนไลน์</w:t>
      </w:r>
    </w:p>
    <w:p>
      <w:pPr>
        <w:shd w:val="clear" w:color="auto" w:fill="FFFFFF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สัญญาจ้างงานมีลักษณะแตกต่างกันตามงานและเงื่อนไข ซึ่งก่อนจะทำการเซ็นก็ต้องดูด้วยว่าสัญญาที่เซ็นนั้นตรงตามประเภทงานที่เราสมัครไปหรือไม่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 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เพื่อที่เราจะไม่เสียผลประโยชน์ หรือมีความขัดแย้งเกิดขึ้นในภายหลัง</w:t>
      </w:r>
    </w:p>
    <w:p>
      <w:pPr>
        <w:tabs>
          <w:tab w:val="left" w:pos="1276"/>
        </w:tabs>
        <w:jc w:val="right"/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</w:pPr>
    </w:p>
    <w:p>
      <w:pPr>
        <w:tabs>
          <w:tab w:val="left" w:pos="1276"/>
        </w:tabs>
        <w:jc w:val="right"/>
        <w:rPr>
          <w:rFonts w:ascii="TH SarabunPSK" w:hAnsi="TH SarabunPSK" w:cs="TH SarabunPSK"/>
          <w:color w:val="000000" w:themeColor="text1"/>
          <w:sz w:val="28"/>
          <w:szCs w:val="28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คำสำคัญ </w:t>
      </w:r>
      <w:r>
        <w:rPr>
          <w:rFonts w:ascii="TH SarabunPSK" w:hAnsi="TH SarabunPSK" w:cs="TH SarabunPSK"/>
          <w:color w:val="000000" w:themeColor="text1"/>
          <w:sz w:val="28"/>
          <w:szCs w:val="28"/>
        </w:rPr>
        <w:t>(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3 คำ</w:t>
      </w:r>
      <w:r>
        <w:rPr>
          <w:rFonts w:ascii="TH SarabunPSK" w:hAnsi="TH SarabunPSK" w:cs="TH SarabunPSK"/>
          <w:color w:val="000000" w:themeColor="text1"/>
          <w:sz w:val="28"/>
          <w:szCs w:val="28"/>
        </w:rPr>
        <w:t xml:space="preserve">): 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กฎหมาย</w:t>
      </w:r>
      <w:r>
        <w:rPr>
          <w:rFonts w:ascii="TH SarabunPSK" w:hAnsi="TH SarabunPSK" w:cs="TH SarabunPSK"/>
          <w:color w:val="000000" w:themeColor="text1"/>
          <w:sz w:val="28"/>
          <w:szCs w:val="28"/>
        </w:rPr>
        <w:t xml:space="preserve"> , 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สัญญา</w:t>
      </w:r>
      <w:r>
        <w:rPr>
          <w:rFonts w:ascii="TH SarabunPSK" w:hAnsi="TH SarabunPSK" w:cs="TH SarabunPSK"/>
          <w:color w:val="000000" w:themeColor="text1"/>
          <w:sz w:val="28"/>
          <w:szCs w:val="28"/>
        </w:rPr>
        <w:t xml:space="preserve"> , HR</w:t>
      </w:r>
      <w:r>
        <w:rPr>
          <w:rFonts w:ascii="TH SarabunPSK" w:hAnsi="TH SarabunPSK" w:cs="TH SarabunPSK"/>
          <w:color w:val="000000" w:themeColor="text1"/>
          <w:sz w:val="28"/>
          <w:szCs w:val="28"/>
        </w:rPr>
        <w:tab/>
      </w:r>
      <w:r>
        <w:rPr>
          <w:rFonts w:ascii="TH SarabunPSK" w:hAnsi="TH SarabunPSK" w:cs="TH SarabunPSK"/>
          <w:color w:val="000000" w:themeColor="text1"/>
          <w:sz w:val="28"/>
          <w:szCs w:val="28"/>
        </w:rPr>
        <w:tab/>
      </w:r>
      <w:r>
        <w:rPr>
          <w:rFonts w:ascii="TH SarabunPSK" w:hAnsi="TH SarabunPSK" w:cs="TH SarabunPSK"/>
          <w:color w:val="000000" w:themeColor="text1"/>
          <w:sz w:val="28"/>
          <w:szCs w:val="28"/>
        </w:rPr>
        <w:tab/>
      </w:r>
      <w:r>
        <w:rPr>
          <w:rFonts w:ascii="TH SarabunPSK" w:hAnsi="TH SarabunPSK" w:cs="TH SarabunPSK"/>
          <w:color w:val="000000" w:themeColor="text1"/>
          <w:sz w:val="28"/>
          <w:szCs w:val="28"/>
        </w:rPr>
        <w:tab/>
      </w:r>
      <w:r>
        <w:rPr>
          <w:rFonts w:ascii="TH SarabunPSK" w:hAnsi="TH SarabunPSK" w:cs="TH SarabunPSK"/>
          <w:color w:val="000000" w:themeColor="text1"/>
          <w:sz w:val="28"/>
          <w:szCs w:val="28"/>
        </w:rPr>
        <w:tab/>
      </w:r>
      <w:r>
        <w:rPr>
          <w:rFonts w:ascii="TH SarabunPSK" w:hAnsi="TH SarabunPSK" w:cs="TH SarabunPSK"/>
          <w:color w:val="000000" w:themeColor="text1"/>
          <w:sz w:val="28"/>
          <w:szCs w:val="28"/>
        </w:rPr>
        <w:tab/>
      </w:r>
      <w:r>
        <w:rPr>
          <w:rFonts w:ascii="TH SarabunPSK" w:hAnsi="TH SarabunPSK" w:cs="TH SarabunPSK"/>
          <w:color w:val="000000" w:themeColor="text1"/>
          <w:sz w:val="28"/>
          <w:szCs w:val="28"/>
        </w:rPr>
        <w:tab/>
      </w:r>
      <w:r>
        <w:rPr>
          <w:rFonts w:ascii="TH SarabunPSK" w:hAnsi="TH SarabunPSK" w:cs="TH SarabunPSK"/>
          <w:color w:val="000000" w:themeColor="text1"/>
          <w:sz w:val="28"/>
          <w:szCs w:val="28"/>
        </w:rPr>
        <w:tab/>
      </w:r>
      <w:r>
        <w:rPr>
          <w:rFonts w:ascii="TH SarabunPSK" w:hAnsi="TH SarabunPSK" w:cs="TH SarabunPSK"/>
          <w:color w:val="000000" w:themeColor="text1"/>
          <w:sz w:val="28"/>
          <w:szCs w:val="28"/>
        </w:rPr>
        <w:tab/>
      </w:r>
      <w:r>
        <w:rPr>
          <w:rFonts w:ascii="TH SarabunPSK" w:hAnsi="TH SarabunPSK" w:cs="TH SarabunPSK"/>
          <w:color w:val="000000" w:themeColor="text1"/>
          <w:sz w:val="28"/>
          <w:szCs w:val="28"/>
        </w:rPr>
        <w:tab/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12/มิ.ย./2567</w:t>
      </w:r>
    </w:p>
    <w:p>
      <w:pPr>
        <w:tabs>
          <w:tab w:val="left" w:pos="1276"/>
        </w:tabs>
        <w:rPr>
          <w:rFonts w:ascii="TH SarabunPSK" w:hAnsi="TH SarabunPSK" w:cs="TH SarabunPSK"/>
          <w:color w:val="000000" w:themeColor="text1"/>
          <w:sz w:val="28"/>
          <w:szCs w:val="28"/>
          <w:cs/>
        </w:rPr>
      </w:pPr>
    </w:p>
    <w:p>
      <w:pPr>
        <w:rPr>
          <w:rFonts w:ascii="TH SarabunPSK" w:hAnsi="TH SarabunPSK" w:cs="TH SarabunPSK"/>
          <w:color w:val="000000" w:themeColor="text1"/>
          <w:sz w:val="28"/>
          <w:szCs w:val="28"/>
          <w:cs/>
        </w:rPr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Footer"/>
      <w:pBdr>
        <w:top w:val="single" w:sz="4" w:space="1" w:color="auto"/>
      </w:pBdr>
      <w:tabs>
        <w:tab w:val="clear" w:pos="4513"/>
        <w:tab w:val="clear" w:pos="9026"/>
        <w:tab w:val="left" w:pos="0"/>
        <w:tab w:val="center" w:pos="4536"/>
        <w:tab w:val="right" w:pos="9072"/>
        <w:tab w:val="right" w:pos="12900"/>
      </w:tabs>
      <w:jc w:val="both"/>
      <w:rPr>
        <w:rFonts w:cs="TH SarabunPSK"/>
        <w:b/>
        <w:bCs/>
        <w:sz w:val="24"/>
        <w:szCs w:val="24"/>
      </w:rPr>
    </w:pPr>
    <w:r>
      <w:rPr>
        <w:rFonts w:cs="TH SarabunPSK"/>
        <w:b/>
        <w:bCs/>
        <w:sz w:val="24"/>
        <w:szCs w:val="24"/>
        <w:cs/>
      </w:rPr>
      <w:tab/>
    </w:r>
    <w:r>
      <w:rPr>
        <w:rFonts w:ascii="TH Sarabun New" w:hAnsi="TH Sarabun New" w:cs="TH Sarabun New"/>
        <w:sz w:val="24"/>
        <w:szCs w:val="24"/>
      </w:rPr>
      <w:fldChar w:fldCharType="begin"/>
    </w:r>
    <w:r>
      <w:rPr>
        <w:rFonts w:ascii="TH Sarabun New" w:hAnsi="TH Sarabun New" w:cs="TH Sarabun New"/>
        <w:sz w:val="24"/>
        <w:szCs w:val="24"/>
        <w:cs/>
      </w:rPr>
      <w:instrText xml:space="preserve"> PAGE   \* MERGEFORMAT </w:instrText>
    </w:r>
    <w:r>
      <w:rPr>
        <w:rFonts w:ascii="TH Sarabun New" w:hAnsi="TH Sarabun New" w:cs="TH Sarabun New"/>
        <w:sz w:val="24"/>
        <w:szCs w:val="24"/>
      </w:rPr>
      <w:fldChar w:fldCharType="separate"/>
    </w:r>
    <w:r>
      <w:rPr>
        <w:rFonts w:ascii="TH Sarabun New" w:hAnsi="TH Sarabun New" w:cs="TH Sarabun New"/>
        <w:noProof/>
        <w:sz w:val="24"/>
        <w:szCs w:val="24"/>
        <w:cs/>
      </w:rPr>
      <w:t>3</w:t>
    </w:r>
    <w:r>
      <w:rPr>
        <w:rFonts w:ascii="TH Sarabun New" w:hAnsi="TH Sarabun New" w:cs="TH Sarabun New"/>
        <w:noProof/>
        <w:sz w:val="24"/>
        <w:szCs w:val="24"/>
      </w:rPr>
      <w:fldChar w:fldCharType="end"/>
    </w:r>
    <w:r>
      <w:rPr>
        <w:rFonts w:cs="TH SarabunPSK" w:hint="cs"/>
        <w:b/>
        <w:bCs/>
        <w:sz w:val="24"/>
        <w:szCs w:val="24"/>
        <w:cs/>
      </w:rPr>
      <w:tab/>
    </w:r>
    <w:r>
      <w:rPr>
        <w:rFonts w:cs="TH SarabunPSK"/>
        <w:b/>
        <w:bCs/>
        <w:sz w:val="24"/>
        <w:szCs w:val="24"/>
        <w:cs/>
      </w:rPr>
      <w:t xml:space="preserve">บริษัท </w:t>
    </w:r>
    <w:r>
      <w:rPr>
        <w:rFonts w:cs="TH SarabunPSK"/>
        <w:b/>
        <w:bCs/>
        <w:sz w:val="24"/>
        <w:szCs w:val="24"/>
        <w:cs/>
      </w:rPr>
      <w:t>คอนซัลแทนท์</w:t>
    </w:r>
    <w:r>
      <w:rPr>
        <w:rFonts w:cs="TH SarabunPSK" w:hint="cs"/>
        <w:b/>
        <w:bCs/>
        <w:sz w:val="24"/>
        <w:szCs w:val="24"/>
        <w:cs/>
      </w:rPr>
      <w:t xml:space="preserve"> </w:t>
    </w:r>
    <w:r>
      <w:rPr>
        <w:rFonts w:cs="TH SarabunPSK"/>
        <w:b/>
        <w:bCs/>
        <w:sz w:val="24"/>
        <w:szCs w:val="24"/>
        <w:cs/>
      </w:rPr>
      <w:t>ออฟ เทคโนโลยี จำกัด (COT)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828767" o:spid="_x0000_s7183" type="#_x0000_t75" style="position:absolute;margin-left:0;margin-top:0;width:459pt;height:522.75pt;z-index:-251657216;mso-position-horizontal:center;mso-position-horizontal-relative:margin;mso-position-vertical:center;mso-position-vertical-relative:margin" o:allowincell="f">
          <v:imagedata r:id="rId1" o:title="COT+(TM)+1+-+Edit01+cop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  <w:rPr>
        <w:rFonts w:ascii="TH SarabunPSK" w:hAnsi="TH SarabunPSK" w:cs="TH SarabunPSK"/>
        <w:b/>
        <w:bCs/>
        <w:color w:val="FF0000"/>
        <w:sz w:val="28"/>
        <w:szCs w:val="36"/>
        <w:cs/>
      </w:rPr>
    </w:pPr>
    <w:r>
      <w:rPr>
        <w:rFonts w:ascii="TH SarabunPSK" w:hAnsi="TH SarabunPSK" w:cs="TH SarabunPSK"/>
        <w:b/>
        <w:bCs/>
        <w:noProof/>
        <w:color w:val="FF0000"/>
        <w:sz w:val="28"/>
        <w:szCs w:val="3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828768" o:spid="_x0000_s7184" type="#_x0000_t75" style="position:absolute;left:0;text-align:left;margin-left:0;margin-top:0;width:459pt;height:522.75pt;z-index:-251656192;mso-position-horizontal:center;mso-position-horizontal-relative:margin;mso-position-vertical:center;mso-position-vertical-relative:margin" o:allowincell="f">
          <v:imagedata r:id="rId1" o:title="COT+(TM)+1+-+Edit01+copy" gain="19661f" blacklevel="22938f"/>
          <w10:wrap anchorx="margin" anchory="margin"/>
        </v:shape>
      </w:pict>
    </w:r>
    <w:r>
      <w:rPr>
        <w:rFonts w:ascii="TH SarabunPSK" w:hAnsi="TH SarabunPSK" w:cs="TH SarabunPSK"/>
        <w:b/>
        <w:bCs/>
        <w:color w:val="FF0000"/>
        <w:sz w:val="28"/>
        <w:szCs w:val="36"/>
        <w:cs/>
      </w:rPr>
      <w:t>เอกสารใช้ภายในบริษัทฯ ห้ามเผยแพร่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828766" o:spid="_x0000_s7182" type="#_x0000_t75" style="position:absolute;margin-left:0;margin-top:0;width:459pt;height:522.75pt;z-index:-251658240;mso-position-horizontal:center;mso-position-horizontal-relative:margin;mso-position-vertical:center;mso-position-vertical-relative:margin" o:allowincell="f">
          <v:imagedata r:id="rId1" o:title="COT+(TM)+1+-+Edit01+cop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66B46"/>
    <w:multiLevelType w:val="hybridMultilevel"/>
    <w:tmpl w:val="6060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13319"/>
    <w:multiLevelType w:val="hybridMultilevel"/>
    <w:tmpl w:val="51523D22"/>
    <w:lvl w:ilvl="0" w:tplc="9B86DB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0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72271"/>
    <w:multiLevelType w:val="hybridMultilevel"/>
    <w:tmpl w:val="FB4E7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B3947"/>
    <w:multiLevelType w:val="hybridMultilevel"/>
    <w:tmpl w:val="C1E2887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F07AA9"/>
    <w:multiLevelType w:val="hybridMultilevel"/>
    <w:tmpl w:val="6060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C412C"/>
    <w:multiLevelType w:val="multilevel"/>
    <w:tmpl w:val="6060CC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54523"/>
    <w:multiLevelType w:val="hybridMultilevel"/>
    <w:tmpl w:val="19146E96"/>
    <w:lvl w:ilvl="0" w:tplc="CD108DC6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C518E"/>
    <w:multiLevelType w:val="multilevel"/>
    <w:tmpl w:val="188A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860805"/>
    <w:multiLevelType w:val="hybridMultilevel"/>
    <w:tmpl w:val="8ECA8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986D1E"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677B60"/>
    <w:multiLevelType w:val="multilevel"/>
    <w:tmpl w:val="CA70D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lang w:bidi="th-TH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10">
    <w:nsid w:val="56B11C9D"/>
    <w:multiLevelType w:val="multilevel"/>
    <w:tmpl w:val="CE8A3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DCB7B57"/>
    <w:multiLevelType w:val="hybridMultilevel"/>
    <w:tmpl w:val="2DA0B8A4"/>
    <w:lvl w:ilvl="0" w:tplc="025009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60129"/>
    <w:multiLevelType w:val="hybridMultilevel"/>
    <w:tmpl w:val="1638D3F8"/>
    <w:lvl w:ilvl="0" w:tplc="5BC64590">
      <w:start w:val="1"/>
      <w:numFmt w:val="decimal"/>
      <w:lvlText w:val="%1."/>
      <w:lvlJc w:val="left"/>
      <w:pPr>
        <w:ind w:left="927" w:hanging="360"/>
      </w:pPr>
      <w:rPr>
        <w:rFonts w:hint="default"/>
        <w:sz w:val="36"/>
        <w:szCs w:val="44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7AC555D"/>
    <w:multiLevelType w:val="hybridMultilevel"/>
    <w:tmpl w:val="44108164"/>
    <w:lvl w:ilvl="0" w:tplc="F8986D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</w:rPr>
    </w:lvl>
    <w:lvl w:ilvl="1" w:tplc="134C953C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86A6EEE6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E9221B0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AF7A63E2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6BDAFE48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D0C0FB20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7EB0A958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2E329CD8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9"/>
  </w:num>
  <w:num w:numId="5">
    <w:abstractNumId w:val="12"/>
  </w:num>
  <w:num w:numId="6">
    <w:abstractNumId w:val="13"/>
  </w:num>
  <w:num w:numId="7">
    <w:abstractNumId w:val="0"/>
  </w:num>
  <w:num w:numId="8">
    <w:abstractNumId w:val="5"/>
  </w:num>
  <w:num w:numId="9">
    <w:abstractNumId w:val="10"/>
  </w:num>
  <w:num w:numId="10">
    <w:abstractNumId w:val="6"/>
  </w:num>
  <w:num w:numId="11">
    <w:abstractNumId w:val="4"/>
  </w:num>
  <w:num w:numId="12">
    <w:abstractNumId w:val="7"/>
  </w:num>
  <w:num w:numId="13">
    <w:abstractNumId w:val="3"/>
  </w:num>
  <w:num w:numId="1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hdrShapeDefaults>
    <o:shapedefaults v:ext="edit" spidmax="7185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85"/>
    <o:shapelayout v:ext="edit">
      <o:idmap v:ext="edit" data="1"/>
    </o:shapelayout>
  </w:shapeDefaults>
  <w:decimalSymbol w:val="."/>
  <w:listSeparator w:val=","/>
  <w15:docId w15:val="{60CC12F9-8989-44BA-823F-8A68B43B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CordiaUPC" w:eastAsia="Times New Roman" w:hAnsi="CordiaUPC" w:cs="Cord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pPr>
      <w:keepNext/>
      <w:spacing w:line="220" w:lineRule="exact"/>
      <w:jc w:val="center"/>
      <w:outlineLvl w:val="3"/>
    </w:pPr>
    <w:rPr>
      <w:rFonts w:ascii="TH SarabunPSK" w:hAnsi="TH SarabunPSK" w:cs="TH SarabunPSK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cs="Angsana New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Angsana New"/>
      <w:sz w:val="16"/>
      <w:szCs w:val="20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ahoma" w:hAnsi="Tahoma" w:cs="Tahoma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H Sarabun New" w:hAnsi="TH Sarabun New" w:cs="TH Sarabun New"/>
      <w:color w:val="000000"/>
      <w:sz w:val="24"/>
      <w:szCs w:val="24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CordiaUPC" w:eastAsia="Times New Roman" w:hAnsi="CordiaUPC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ordiaUPC" w:eastAsia="Times New Roman" w:hAnsi="CordiaUPC" w:cs="Angsana New"/>
      <w:sz w:val="32"/>
      <w:szCs w:val="40"/>
    </w:rPr>
  </w:style>
  <w:style w:type="character" w:customStyle="1" w:styleId="Heading4Char">
    <w:name w:val="Heading 4 Char"/>
    <w:basedOn w:val="DefaultParagraphFont"/>
    <w:link w:val="Heading4"/>
    <w:rPr>
      <w:rFonts w:ascii="TH SarabunPSK" w:eastAsia="Times New Roman" w:hAnsi="TH SarabunPSK" w:cs="TH SarabunPSK"/>
      <w:b/>
      <w:bCs/>
      <w:sz w:val="24"/>
      <w:szCs w:val="24"/>
    </w:rPr>
  </w:style>
  <w:style w:type="paragraph" w:customStyle="1" w:styleId="a">
    <w:name w:val="??*????*???"/>
    <w:basedOn w:val="Normal"/>
    <w:pPr>
      <w:suppressAutoHyphens/>
      <w:ind w:right="386"/>
    </w:pPr>
    <w:rPr>
      <w:rFonts w:eastAsia="Arial"/>
      <w:color w:val="000000"/>
      <w:sz w:val="28"/>
      <w:szCs w:val="28"/>
      <w:lang w:val="th-TH"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65137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75623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8432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9214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192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663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1099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9432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066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6451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5799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897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3334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7111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1300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3745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3175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7871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8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42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323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1163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04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5370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990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7464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008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6447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7682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7608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8559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5818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6945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3173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30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32366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9630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2363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4573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497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8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869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5411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485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1034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904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9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7363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143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0371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2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06606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4613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8887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451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9311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3401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6310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9186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90165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4167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521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949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618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4946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855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29956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9537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1342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6086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9219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6705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3108">
          <w:marLeft w:val="2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2890">
          <w:marLeft w:val="2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1885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570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4910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0232">
          <w:marLeft w:val="83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708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6455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4049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7335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6429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051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884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224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4748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6853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366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598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6144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1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3647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4780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80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104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571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91301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165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330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267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52645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8283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6717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5169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9906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9913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0200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25147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1653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1790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5821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7329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9707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0225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29505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9841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3253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58152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5965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4472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8891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5710">
          <w:marLeft w:val="33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3948">
          <w:marLeft w:val="33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C3ACB-87D7-4803-8A23-FBCC697B5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7291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walailuk.d</dc:creator>
  <cp:lastModifiedBy>phathinee.a</cp:lastModifiedBy>
  <cp:revision>3</cp:revision>
  <dcterms:created xsi:type="dcterms:W3CDTF">2024-06-12T03:41:00Z</dcterms:created>
  <dcterms:modified xsi:type="dcterms:W3CDTF">2024-06-12T03:44:00Z</dcterms:modified>
</cp:coreProperties>
</file>